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18" w:rsidRDefault="002578B8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sz w:val="28"/>
          <w:szCs w:val="28"/>
        </w:rPr>
        <w:t>采购要求</w:t>
      </w:r>
      <w:bookmarkEnd w:id="0"/>
      <w:r>
        <w:rPr>
          <w:rFonts w:asciiTheme="minorEastAsia" w:hAnsiTheme="minorEastAsia" w:hint="eastAsia"/>
          <w:sz w:val="28"/>
          <w:szCs w:val="28"/>
        </w:rPr>
        <w:t xml:space="preserve">：(采购项目技术规格、参数及要求)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820"/>
        <w:gridCol w:w="5330"/>
        <w:gridCol w:w="400"/>
        <w:gridCol w:w="761"/>
        <w:gridCol w:w="713"/>
      </w:tblGrid>
      <w:tr w:rsidR="00514C94" w:rsidTr="00717C17">
        <w:trPr>
          <w:trHeight w:val="641"/>
        </w:trPr>
        <w:tc>
          <w:tcPr>
            <w:tcW w:w="479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sz w:val="22"/>
                <w:szCs w:val="24"/>
              </w:rPr>
              <w:t>序号</w:t>
            </w:r>
          </w:p>
        </w:tc>
        <w:tc>
          <w:tcPr>
            <w:tcW w:w="820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采购内容</w:t>
            </w:r>
          </w:p>
        </w:tc>
        <w:tc>
          <w:tcPr>
            <w:tcW w:w="5330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技术规格</w:t>
            </w:r>
          </w:p>
        </w:tc>
        <w:tc>
          <w:tcPr>
            <w:tcW w:w="400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数量</w:t>
            </w:r>
          </w:p>
        </w:tc>
        <w:tc>
          <w:tcPr>
            <w:tcW w:w="761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交货期</w:t>
            </w:r>
          </w:p>
        </w:tc>
        <w:tc>
          <w:tcPr>
            <w:tcW w:w="713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预算金额</w:t>
            </w:r>
          </w:p>
        </w:tc>
      </w:tr>
      <w:tr w:rsidR="00514C94" w:rsidTr="00717C17">
        <w:tc>
          <w:tcPr>
            <w:tcW w:w="479" w:type="dxa"/>
          </w:tcPr>
          <w:p w:rsidR="00514C94" w:rsidRDefault="002578B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820" w:type="dxa"/>
            <w:vAlign w:val="center"/>
          </w:tcPr>
          <w:p w:rsidR="00514C94" w:rsidRDefault="00E218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纯水超纯水系统</w:t>
            </w:r>
          </w:p>
        </w:tc>
        <w:tc>
          <w:tcPr>
            <w:tcW w:w="5330" w:type="dxa"/>
          </w:tcPr>
          <w:p w:rsidR="00514C94" w:rsidRPr="00717C17" w:rsidRDefault="002578B8" w:rsidP="002801DD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主要技术参数</w:t>
            </w:r>
          </w:p>
          <w:p w:rsidR="00E218E2" w:rsidRP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（一）</w:t>
            </w:r>
            <w:r w:rsidR="00B527AB" w:rsidRPr="00717C17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系统描述</w:t>
            </w:r>
          </w:p>
          <w:p w:rsidR="00B527AB" w:rsidRDefault="008310BD" w:rsidP="002801DD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</w:t>
            </w:r>
            <w:r w:rsidR="00B527AB" w:rsidRPr="00B527AB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以满足进水条件的自来水作为进水，生产制备</w:t>
            </w: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优质纯水和</w:t>
            </w:r>
            <w:r w:rsidR="00B527AB" w:rsidRPr="00B527AB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超纯水</w:t>
            </w: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，</w:t>
            </w:r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一级超纯水可应用于：各种化学分析仪器（如</w:t>
            </w:r>
            <w:r w:rsidRPr="008310BD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 xml:space="preserve">HPLC / LC-MS </w:t>
            </w:r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/</w:t>
            </w:r>
            <w:r w:rsidRPr="008310BD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 xml:space="preserve"> ICP-MS</w:t>
            </w:r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等）</w:t>
            </w:r>
            <w:bookmarkStart w:id="1" w:name="_Hlk496871159"/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、</w:t>
            </w:r>
            <w:bookmarkEnd w:id="1"/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生命科学领域实验（如</w:t>
            </w:r>
            <w:r w:rsidRPr="008310BD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PCR</w:t>
            </w:r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、细胞培养、分子生物学、基因</w:t>
            </w:r>
            <w:r w:rsidRPr="008310BD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测序</w:t>
            </w:r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等），</w:t>
            </w:r>
            <w:r w:rsidRPr="008310BD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二级纯水可</w:t>
            </w:r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供洗瓶</w:t>
            </w:r>
            <w:r w:rsidRPr="008310BD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机和</w:t>
            </w:r>
            <w:r w:rsidRP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实验室</w:t>
            </w:r>
            <w:r w:rsidRPr="008310BD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用溶液的配置等。</w:t>
            </w:r>
          </w:p>
          <w:p w:rsidR="008310BD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（二）</w:t>
            </w:r>
            <w:r w:rsidR="008310BD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产水水质</w:t>
            </w:r>
          </w:p>
          <w:p w:rsidR="008310BD" w:rsidRDefault="008310BD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2.1</w:t>
            </w:r>
            <w:r w:rsidR="00717C17"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</w:t>
            </w: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超纯水产水水质</w:t>
            </w:r>
          </w:p>
          <w:p w:rsidR="008310BD" w:rsidRPr="00717C17" w:rsidRDefault="008310BD" w:rsidP="00717C17">
            <w:pPr>
              <w:pStyle w:val="a7"/>
              <w:spacing w:line="360" w:lineRule="auto"/>
              <w:ind w:left="720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电阻率 18.2MΩ•cm，细菌＜0.01cfu/ml， 核糖核酸酶＜1pg/ml，脱氧核糖核酸酶＜5pg/ml，无</w:t>
            </w:r>
            <w:r w:rsidRPr="00717C17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粒径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&gt;</w:t>
            </w:r>
            <w:r w:rsidRPr="00717C17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0.22μm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微粒TOC</w:t>
            </w:r>
            <w:r w:rsidRPr="00717C17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≤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5ppb；</w:t>
            </w:r>
          </w:p>
          <w:p w:rsidR="008310BD" w:rsidRPr="00717C17" w:rsidRDefault="008310BD" w:rsidP="00717C17">
            <w:pPr>
              <w:pStyle w:val="a7"/>
              <w:spacing w:line="360" w:lineRule="auto"/>
              <w:ind w:left="720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产水流速：逐滴-</w:t>
            </w:r>
            <w:r w:rsidRPr="00717C17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-2.0 L/min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；</w:t>
            </w:r>
          </w:p>
          <w:p w:rsidR="008310BD" w:rsidRPr="00717C17" w:rsidRDefault="0078643C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 2.2纯水产水水质</w:t>
            </w:r>
          </w:p>
          <w:p w:rsidR="0078643C" w:rsidRPr="00717C17" w:rsidRDefault="0078643C" w:rsidP="00717C17">
            <w:pPr>
              <w:pStyle w:val="a7"/>
              <w:spacing w:line="360" w:lineRule="auto"/>
              <w:ind w:left="720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电阻率 ＞ 5 MΩ·cm＠25℃，总有机碳含量(TOC) ＜ 30ppb</w:t>
            </w:r>
          </w:p>
          <w:p w:rsidR="0078643C" w:rsidRPr="00717C17" w:rsidRDefault="0078643C" w:rsidP="00717C17">
            <w:pPr>
              <w:pStyle w:val="a7"/>
              <w:spacing w:line="360" w:lineRule="auto"/>
              <w:ind w:left="720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产水流速：10L/H </w:t>
            </w:r>
          </w:p>
          <w:p w:rsidR="0078643C" w:rsidRP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（三）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主机</w:t>
            </w:r>
          </w:p>
          <w:p w:rsidR="00717C17" w:rsidRP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3.1智能化操作系统，操作界面设计如同手机或平板电脑一样直观，所有信息一触即得。自动耗材更换信息提示，所有操作步骤有图文引导，简洁高效。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3.2* 新型IPAK Gard® 预处理柱含折皱过滤器和天然活性碳，可高效去除自来水中的胶体、微粒和游离氯。IPAK Quanta® 纯化柱使用创新的IQnano® 离子交换树脂去除离子，使离子含量低至痕量水平。IQnano® 树脂的小珠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lastRenderedPageBreak/>
              <w:t>粒径显着改善了动力学性能，能够生产更佳的水质，并提供出厂质量证书。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3.3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纯化柱具备识别芯片，系统自动识别和记录耗材使用及更换记录。旋转卡扣式安装技术，任何人都可以进行简单安装。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3.4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*标配265nm UVC LED杀菌紫外灯，杀菌效果更佳，LED技术大大缩小紫外灯体积；标配172nm UV氧化紫外灯，有效降低TOC水平至2ppb以下。所有紫外灯采用无汞设计，更绿色环保。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3.5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*产水前，系统EDI自动冲洗功能，确保高质量纯水进入水箱。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3.6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 蓄水自动再循环功能，滞留在水路的水，会再循环通过紫外杀菌灯，从而确保水箱中的水质。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3.7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*内置独立在线TOC检测模块，检测范围0.5-999ppb，检测精度±0.1ppb；符合USP和EP适应性测试的要求。附原厂出厂校验证书。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3.8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产品是在ISO 9001 和ISO 14001 审核的生产现场内生产的，并可提供相应证书。</w:t>
            </w:r>
          </w:p>
          <w:p w:rsidR="00514C94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(四)</w:t>
            </w:r>
            <w:r>
              <w:rPr>
                <w:rFonts w:hint="eastAsia"/>
              </w:rPr>
              <w:t xml:space="preserve"> 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取水装置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4.1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 系统最多可以连接4个取水手臂（1个E-POD,3个Q-POD,或者4个Q-POD），提供2米的连接组件，可以通过取水手臂和脚踏开关取水。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4.2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 独立的Q-POD取水手臂集成5寸彩色触摸屏，内置流量计，两种取水功能选择：定量取水范围：20mL～100L，辅助定容取水范围：50mL～5L。从逐滴到最大2 L/min连续可调， 8种取水流速可选。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4.3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 * E-POD取水手臂，同样集成5寸彩色触摸屏，2种取水流速可选。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4.4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*有5种以上终端精制器可供选择配置，适用不同实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lastRenderedPageBreak/>
              <w:t>验水质的要求，并提供原厂质量证书。每个终端精制器都带有芯片，系统能自动的识别类型和使用状态。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（五）监控系统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5.1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系统水质监测采用高精度的在线电阻率仪，电池常数0.01cm-1, 提供电阻率检测器原厂检验证书模板，随主机提供电阻率检验证书原件。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5.2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在线检测超纯水中的TOC. 检测范围:0.5-999.9ppb; 检测精度±0.1ppb,，符合USP和EP系统适应性测试。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（六）软件系统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6.1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独立的取水臂集成5寸以上彩色触摸屏，提供包含中文在内的多种语言和多客户登录管理功能，具备水质显示，取水功能设置，系统设置、维护引导，信息和历史记录等功能。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6.2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全面的数据管理系统，可为最近30天的事件提供图文预览；所有报告均可通过USB端口导出，并且其打开格式适用于所有LIMS（实验室信息管理系统），存档功能支持质量管理系统。系统可以存储长达2年的水质数据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6.3</w:t>
            </w:r>
            <w:r w:rsidRP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可以通过其他移动设备（手机或平板电脑等）实现对系统的远程监控和远程诊断，方便操作，极大的缩短解决故障时间。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（七）质保期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7.1质保：</w:t>
            </w:r>
            <w:r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安装验收后</w:t>
            </w: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1年</w:t>
            </w:r>
          </w:p>
          <w:p w:rsidR="006D5DE2" w:rsidRDefault="006D5DE2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（八）付款方式</w:t>
            </w:r>
          </w:p>
          <w:p w:rsidR="006D5DE2" w:rsidRPr="00717C17" w:rsidRDefault="006D5DE2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100%后TT</w:t>
            </w:r>
          </w:p>
        </w:tc>
        <w:tc>
          <w:tcPr>
            <w:tcW w:w="400" w:type="dxa"/>
            <w:vAlign w:val="center"/>
          </w:tcPr>
          <w:p w:rsidR="00514C94" w:rsidRDefault="00E218E2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761" w:type="dxa"/>
            <w:vAlign w:val="center"/>
          </w:tcPr>
          <w:p w:rsidR="00514C94" w:rsidRDefault="002578B8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  <w:tc>
          <w:tcPr>
            <w:tcW w:w="713" w:type="dxa"/>
          </w:tcPr>
          <w:p w:rsidR="00514C94" w:rsidRDefault="002A6E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5万</w:t>
            </w:r>
          </w:p>
        </w:tc>
      </w:tr>
    </w:tbl>
    <w:p w:rsidR="00514C94" w:rsidRPr="00F66290" w:rsidRDefault="00514C94">
      <w:pPr>
        <w:rPr>
          <w:rFonts w:asciiTheme="minorEastAsia" w:hAnsiTheme="minorEastAsia"/>
          <w:sz w:val="28"/>
          <w:szCs w:val="28"/>
        </w:rPr>
      </w:pPr>
    </w:p>
    <w:sectPr w:rsidR="00514C94" w:rsidRPr="00F66290" w:rsidSect="00DC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C9" w:rsidRDefault="009425C9" w:rsidP="00E218E2">
      <w:r>
        <w:separator/>
      </w:r>
    </w:p>
  </w:endnote>
  <w:endnote w:type="continuationSeparator" w:id="0">
    <w:p w:rsidR="009425C9" w:rsidRDefault="009425C9" w:rsidP="00E2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C9" w:rsidRDefault="009425C9" w:rsidP="00E218E2">
      <w:r>
        <w:separator/>
      </w:r>
    </w:p>
  </w:footnote>
  <w:footnote w:type="continuationSeparator" w:id="0">
    <w:p w:rsidR="009425C9" w:rsidRDefault="009425C9" w:rsidP="00E2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B71"/>
    <w:multiLevelType w:val="hybridMultilevel"/>
    <w:tmpl w:val="B9D47FD8"/>
    <w:lvl w:ilvl="0" w:tplc="B54E19C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8319F"/>
    <w:rsid w:val="001234EB"/>
    <w:rsid w:val="001754B5"/>
    <w:rsid w:val="001D510B"/>
    <w:rsid w:val="001F6318"/>
    <w:rsid w:val="002578B8"/>
    <w:rsid w:val="002801DD"/>
    <w:rsid w:val="002A1217"/>
    <w:rsid w:val="002A6EFC"/>
    <w:rsid w:val="0031179B"/>
    <w:rsid w:val="00347693"/>
    <w:rsid w:val="004920F9"/>
    <w:rsid w:val="004B22E8"/>
    <w:rsid w:val="00514C94"/>
    <w:rsid w:val="006D5DE2"/>
    <w:rsid w:val="00717C17"/>
    <w:rsid w:val="007249F4"/>
    <w:rsid w:val="007455FC"/>
    <w:rsid w:val="0078643C"/>
    <w:rsid w:val="007B6593"/>
    <w:rsid w:val="008310BD"/>
    <w:rsid w:val="008700D8"/>
    <w:rsid w:val="008E5F03"/>
    <w:rsid w:val="009425C9"/>
    <w:rsid w:val="009A630F"/>
    <w:rsid w:val="00A424E4"/>
    <w:rsid w:val="00A92B8A"/>
    <w:rsid w:val="00B23F91"/>
    <w:rsid w:val="00B527AB"/>
    <w:rsid w:val="00B54DFE"/>
    <w:rsid w:val="00C60447"/>
    <w:rsid w:val="00C95209"/>
    <w:rsid w:val="00DC6F08"/>
    <w:rsid w:val="00DD285A"/>
    <w:rsid w:val="00DE6322"/>
    <w:rsid w:val="00E218E2"/>
    <w:rsid w:val="00E67021"/>
    <w:rsid w:val="00EB1E11"/>
    <w:rsid w:val="00F66290"/>
    <w:rsid w:val="734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3EFD6"/>
  <w15:docId w15:val="{B5F3F0AF-E694-4F1F-9161-3F6AC577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rsid w:val="00DC6F08"/>
    <w:pPr>
      <w:jc w:val="center"/>
    </w:pPr>
    <w:rPr>
      <w:b/>
      <w:bCs/>
      <w:sz w:val="28"/>
    </w:rPr>
  </w:style>
  <w:style w:type="table" w:styleId="a8">
    <w:name w:val="Table Grid"/>
    <w:basedOn w:val="a1"/>
    <w:uiPriority w:val="59"/>
    <w:qFormat/>
    <w:rsid w:val="00DC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DC6F0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C6F08"/>
    <w:rPr>
      <w:sz w:val="18"/>
      <w:szCs w:val="18"/>
    </w:rPr>
  </w:style>
  <w:style w:type="paragraph" w:styleId="a9">
    <w:name w:val="List Paragraph"/>
    <w:basedOn w:val="a"/>
    <w:uiPriority w:val="99"/>
    <w:rsid w:val="00717C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5</cp:revision>
  <dcterms:created xsi:type="dcterms:W3CDTF">2021-09-14T07:11:00Z</dcterms:created>
  <dcterms:modified xsi:type="dcterms:W3CDTF">2021-09-15T03:15:00Z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