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C0E9" w14:textId="77777777" w:rsidR="00366D24" w:rsidRPr="00DC719C" w:rsidRDefault="00366D24" w:rsidP="00366D24">
      <w:pPr>
        <w:ind w:firstLineChars="50" w:firstLine="140"/>
        <w:rPr>
          <w:rFonts w:ascii="宋体" w:eastAsia="宋体" w:hAnsi="宋体"/>
          <w:sz w:val="28"/>
          <w:szCs w:val="28"/>
        </w:rPr>
      </w:pPr>
      <w:bookmarkStart w:id="0" w:name="_Hlk64797727"/>
      <w:r w:rsidRPr="00DC719C">
        <w:rPr>
          <w:rFonts w:ascii="宋体" w:eastAsia="宋体" w:hAnsi="宋体" w:hint="eastAsia"/>
          <w:sz w:val="28"/>
          <w:szCs w:val="28"/>
        </w:rPr>
        <w:t>附件：</w:t>
      </w:r>
    </w:p>
    <w:p w14:paraId="59AC81C9" w14:textId="77777777" w:rsidR="00366D24" w:rsidRDefault="00366D24" w:rsidP="00366D24">
      <w:pPr>
        <w:jc w:val="center"/>
        <w:rPr>
          <w:rFonts w:ascii="仿宋_GB2312"/>
          <w:b/>
          <w:szCs w:val="32"/>
        </w:rPr>
      </w:pPr>
    </w:p>
    <w:p w14:paraId="49FBDF60" w14:textId="77777777" w:rsidR="00366D24" w:rsidRDefault="00366D24" w:rsidP="00366D24">
      <w:pPr>
        <w:jc w:val="center"/>
        <w:rPr>
          <w:rFonts w:ascii="华文中宋" w:eastAsia="华文中宋" w:hAnsi="华文中宋"/>
          <w:sz w:val="36"/>
          <w:szCs w:val="32"/>
        </w:rPr>
      </w:pPr>
      <w:r>
        <w:rPr>
          <w:rFonts w:ascii="华文中宋" w:eastAsia="华文中宋" w:hAnsi="华文中宋" w:hint="eastAsia"/>
          <w:sz w:val="36"/>
          <w:szCs w:val="32"/>
        </w:rPr>
        <w:t>评分指标体系与评分方法</w:t>
      </w:r>
    </w:p>
    <w:p w14:paraId="5EB53A2B" w14:textId="77777777" w:rsidR="00366D24" w:rsidRDefault="00366D24" w:rsidP="00366D24">
      <w:pPr>
        <w:ind w:firstLineChars="150" w:firstLine="316"/>
        <w:rPr>
          <w:rFonts w:ascii="仿宋_GB2312"/>
          <w:b/>
          <w:szCs w:val="32"/>
        </w:rPr>
      </w:pPr>
    </w:p>
    <w:p w14:paraId="69856AB8" w14:textId="77777777" w:rsidR="00366D24" w:rsidRPr="002A6E12" w:rsidRDefault="00366D24" w:rsidP="00366D24">
      <w:pPr>
        <w:ind w:firstLineChars="150" w:firstLine="422"/>
        <w:rPr>
          <w:rFonts w:ascii="宋体" w:hAnsi="宋体"/>
          <w:b/>
          <w:bCs/>
          <w:sz w:val="28"/>
          <w:szCs w:val="28"/>
        </w:rPr>
      </w:pPr>
      <w:r w:rsidRPr="002A6E12">
        <w:rPr>
          <w:rFonts w:ascii="宋体" w:hAnsi="宋体" w:hint="eastAsia"/>
          <w:b/>
          <w:bCs/>
          <w:sz w:val="28"/>
          <w:szCs w:val="28"/>
        </w:rPr>
        <w:t>一、评分指标体系</w:t>
      </w:r>
    </w:p>
    <w:p w14:paraId="3E5C12A6" w14:textId="77777777" w:rsidR="00366D24" w:rsidRPr="00505138" w:rsidRDefault="00366D24" w:rsidP="00366D24">
      <w:pPr>
        <w:ind w:firstLineChars="150" w:firstLine="422"/>
        <w:rPr>
          <w:rFonts w:ascii="宋体" w:hAnsi="宋体"/>
          <w:sz w:val="28"/>
          <w:szCs w:val="28"/>
        </w:rPr>
      </w:pPr>
      <w:r w:rsidRPr="00505138">
        <w:rPr>
          <w:rFonts w:ascii="宋体" w:hAnsi="宋体" w:hint="eastAsia"/>
          <w:b/>
          <w:bCs/>
          <w:sz w:val="28"/>
          <w:szCs w:val="28"/>
        </w:rPr>
        <w:t>（一）评选开户银行</w:t>
      </w:r>
      <w:r w:rsidRPr="00505138">
        <w:rPr>
          <w:rFonts w:ascii="宋体" w:hAnsi="宋体" w:hint="eastAsia"/>
          <w:sz w:val="28"/>
          <w:szCs w:val="28"/>
        </w:rPr>
        <w:t>。评分指标包括3个方面：经营状况、服务水平、利率水平，权重分别为35%、50%、15%（详见表1）。</w:t>
      </w:r>
    </w:p>
    <w:p w14:paraId="6D44432B" w14:textId="77777777" w:rsidR="00366D24" w:rsidRPr="00505138" w:rsidRDefault="00366D24" w:rsidP="00366D24">
      <w:pPr>
        <w:jc w:val="center"/>
        <w:rPr>
          <w:rFonts w:ascii="宋体" w:hAnsi="宋体"/>
          <w:b/>
          <w:bCs/>
          <w:sz w:val="28"/>
          <w:szCs w:val="28"/>
        </w:rPr>
      </w:pPr>
      <w:r w:rsidRPr="00505138">
        <w:rPr>
          <w:rFonts w:ascii="宋体" w:hAnsi="宋体" w:hint="eastAsia"/>
          <w:b/>
          <w:bCs/>
          <w:sz w:val="28"/>
          <w:szCs w:val="28"/>
        </w:rPr>
        <w:t>表1 开户银行评分指标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3166"/>
        <w:gridCol w:w="1525"/>
        <w:gridCol w:w="1709"/>
      </w:tblGrid>
      <w:tr w:rsidR="00366D24" w:rsidRPr="00505138" w14:paraId="22246B71" w14:textId="77777777" w:rsidTr="00B03F70">
        <w:tc>
          <w:tcPr>
            <w:tcW w:w="1951" w:type="dxa"/>
            <w:tcBorders>
              <w:top w:val="single" w:sz="4" w:space="0" w:color="auto"/>
              <w:left w:val="single" w:sz="4" w:space="0" w:color="auto"/>
              <w:bottom w:val="single" w:sz="4" w:space="0" w:color="auto"/>
              <w:right w:val="single" w:sz="4" w:space="0" w:color="auto"/>
            </w:tcBorders>
            <w:hideMark/>
          </w:tcPr>
          <w:p w14:paraId="6ED1B2CB"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类别</w:t>
            </w:r>
          </w:p>
        </w:tc>
        <w:tc>
          <w:tcPr>
            <w:tcW w:w="3260" w:type="dxa"/>
            <w:tcBorders>
              <w:top w:val="single" w:sz="4" w:space="0" w:color="auto"/>
              <w:left w:val="single" w:sz="4" w:space="0" w:color="auto"/>
              <w:bottom w:val="single" w:sz="4" w:space="0" w:color="auto"/>
              <w:right w:val="single" w:sz="4" w:space="0" w:color="auto"/>
            </w:tcBorders>
            <w:hideMark/>
          </w:tcPr>
          <w:p w14:paraId="7DC4FE6B"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分项指标</w:t>
            </w:r>
          </w:p>
        </w:tc>
        <w:tc>
          <w:tcPr>
            <w:tcW w:w="1560" w:type="dxa"/>
            <w:tcBorders>
              <w:top w:val="single" w:sz="4" w:space="0" w:color="auto"/>
              <w:left w:val="single" w:sz="4" w:space="0" w:color="auto"/>
              <w:bottom w:val="single" w:sz="4" w:space="0" w:color="auto"/>
              <w:right w:val="single" w:sz="4" w:space="0" w:color="auto"/>
            </w:tcBorders>
            <w:hideMark/>
          </w:tcPr>
          <w:p w14:paraId="096145A3"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权重</w:t>
            </w:r>
          </w:p>
        </w:tc>
        <w:tc>
          <w:tcPr>
            <w:tcW w:w="1751" w:type="dxa"/>
            <w:tcBorders>
              <w:top w:val="single" w:sz="4" w:space="0" w:color="auto"/>
              <w:left w:val="single" w:sz="4" w:space="0" w:color="auto"/>
              <w:bottom w:val="single" w:sz="4" w:space="0" w:color="auto"/>
              <w:right w:val="single" w:sz="4" w:space="0" w:color="auto"/>
            </w:tcBorders>
            <w:hideMark/>
          </w:tcPr>
          <w:p w14:paraId="73B92DF1"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权重合计</w:t>
            </w:r>
          </w:p>
        </w:tc>
      </w:tr>
      <w:tr w:rsidR="00366D24" w:rsidRPr="00505138" w14:paraId="7DD44D20" w14:textId="77777777" w:rsidTr="00B03F70">
        <w:tc>
          <w:tcPr>
            <w:tcW w:w="1951" w:type="dxa"/>
            <w:vMerge w:val="restart"/>
            <w:tcBorders>
              <w:top w:val="single" w:sz="4" w:space="0" w:color="auto"/>
              <w:left w:val="single" w:sz="4" w:space="0" w:color="auto"/>
              <w:bottom w:val="single" w:sz="4" w:space="0" w:color="auto"/>
              <w:right w:val="single" w:sz="4" w:space="0" w:color="auto"/>
            </w:tcBorders>
          </w:tcPr>
          <w:p w14:paraId="6A3A8F50" w14:textId="77777777" w:rsidR="00366D24" w:rsidRPr="00505138" w:rsidRDefault="00366D24" w:rsidP="00B03F70">
            <w:pPr>
              <w:jc w:val="center"/>
              <w:rPr>
                <w:rFonts w:ascii="宋体" w:hAnsi="宋体"/>
                <w:sz w:val="28"/>
                <w:szCs w:val="28"/>
              </w:rPr>
            </w:pPr>
          </w:p>
          <w:p w14:paraId="6398D1EB" w14:textId="77777777" w:rsidR="00366D24" w:rsidRPr="00505138" w:rsidRDefault="00366D24" w:rsidP="00B03F70">
            <w:pPr>
              <w:jc w:val="center"/>
              <w:rPr>
                <w:rFonts w:ascii="宋体" w:hAnsi="宋体"/>
                <w:sz w:val="28"/>
                <w:szCs w:val="28"/>
              </w:rPr>
            </w:pPr>
          </w:p>
          <w:p w14:paraId="78BA06C0"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经营状况</w:t>
            </w:r>
          </w:p>
        </w:tc>
        <w:tc>
          <w:tcPr>
            <w:tcW w:w="3260" w:type="dxa"/>
            <w:tcBorders>
              <w:top w:val="single" w:sz="4" w:space="0" w:color="auto"/>
              <w:left w:val="single" w:sz="4" w:space="0" w:color="auto"/>
              <w:bottom w:val="single" w:sz="4" w:space="0" w:color="auto"/>
              <w:right w:val="single" w:sz="4" w:space="0" w:color="auto"/>
            </w:tcBorders>
            <w:hideMark/>
          </w:tcPr>
          <w:p w14:paraId="13A1E08D"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净资产总额</w:t>
            </w:r>
          </w:p>
        </w:tc>
        <w:tc>
          <w:tcPr>
            <w:tcW w:w="1560" w:type="dxa"/>
            <w:tcBorders>
              <w:top w:val="single" w:sz="4" w:space="0" w:color="auto"/>
              <w:left w:val="single" w:sz="4" w:space="0" w:color="auto"/>
              <w:bottom w:val="single" w:sz="4" w:space="0" w:color="auto"/>
              <w:right w:val="single" w:sz="4" w:space="0" w:color="auto"/>
            </w:tcBorders>
            <w:hideMark/>
          </w:tcPr>
          <w:p w14:paraId="44302ACF"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7%</w:t>
            </w:r>
          </w:p>
        </w:tc>
        <w:tc>
          <w:tcPr>
            <w:tcW w:w="1751" w:type="dxa"/>
            <w:vMerge w:val="restart"/>
            <w:tcBorders>
              <w:top w:val="single" w:sz="4" w:space="0" w:color="auto"/>
              <w:left w:val="single" w:sz="4" w:space="0" w:color="auto"/>
              <w:bottom w:val="single" w:sz="4" w:space="0" w:color="auto"/>
              <w:right w:val="single" w:sz="4" w:space="0" w:color="auto"/>
            </w:tcBorders>
          </w:tcPr>
          <w:p w14:paraId="06E719C6" w14:textId="77777777" w:rsidR="00366D24" w:rsidRPr="00505138" w:rsidRDefault="00366D24" w:rsidP="00B03F70">
            <w:pPr>
              <w:jc w:val="center"/>
              <w:rPr>
                <w:rFonts w:ascii="宋体" w:hAnsi="宋体"/>
                <w:sz w:val="28"/>
                <w:szCs w:val="28"/>
              </w:rPr>
            </w:pPr>
          </w:p>
          <w:p w14:paraId="6AD47AD9" w14:textId="77777777" w:rsidR="00366D24" w:rsidRPr="00505138" w:rsidRDefault="00366D24" w:rsidP="00B03F70">
            <w:pPr>
              <w:jc w:val="center"/>
              <w:rPr>
                <w:rFonts w:ascii="宋体" w:hAnsi="宋体"/>
                <w:sz w:val="28"/>
                <w:szCs w:val="28"/>
              </w:rPr>
            </w:pPr>
          </w:p>
          <w:p w14:paraId="7479C054"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35%</w:t>
            </w:r>
          </w:p>
        </w:tc>
      </w:tr>
      <w:tr w:rsidR="00366D24" w:rsidRPr="00505138" w14:paraId="4A7B10E5"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549FB325"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0DA86949"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资本充足率</w:t>
            </w:r>
          </w:p>
        </w:tc>
        <w:tc>
          <w:tcPr>
            <w:tcW w:w="1560" w:type="dxa"/>
            <w:tcBorders>
              <w:top w:val="single" w:sz="4" w:space="0" w:color="auto"/>
              <w:left w:val="single" w:sz="4" w:space="0" w:color="auto"/>
              <w:bottom w:val="single" w:sz="4" w:space="0" w:color="auto"/>
              <w:right w:val="single" w:sz="4" w:space="0" w:color="auto"/>
            </w:tcBorders>
            <w:hideMark/>
          </w:tcPr>
          <w:p w14:paraId="10DBDD01"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A2DC7" w14:textId="77777777" w:rsidR="00366D24" w:rsidRPr="00505138" w:rsidRDefault="00366D24" w:rsidP="00B03F70">
            <w:pPr>
              <w:widowControl/>
              <w:jc w:val="left"/>
              <w:rPr>
                <w:rFonts w:ascii="宋体" w:hAnsi="宋体"/>
                <w:sz w:val="28"/>
                <w:szCs w:val="28"/>
              </w:rPr>
            </w:pPr>
          </w:p>
        </w:tc>
      </w:tr>
      <w:tr w:rsidR="00366D24" w:rsidRPr="00505138" w14:paraId="0B648994"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6E4406B7"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42C29F67"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不良贷款率</w:t>
            </w:r>
          </w:p>
        </w:tc>
        <w:tc>
          <w:tcPr>
            <w:tcW w:w="1560" w:type="dxa"/>
            <w:tcBorders>
              <w:top w:val="single" w:sz="4" w:space="0" w:color="auto"/>
              <w:left w:val="single" w:sz="4" w:space="0" w:color="auto"/>
              <w:bottom w:val="single" w:sz="4" w:space="0" w:color="auto"/>
              <w:right w:val="single" w:sz="4" w:space="0" w:color="auto"/>
            </w:tcBorders>
            <w:hideMark/>
          </w:tcPr>
          <w:p w14:paraId="3F6A1540"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E0221" w14:textId="77777777" w:rsidR="00366D24" w:rsidRPr="00505138" w:rsidRDefault="00366D24" w:rsidP="00B03F70">
            <w:pPr>
              <w:widowControl/>
              <w:jc w:val="left"/>
              <w:rPr>
                <w:rFonts w:ascii="宋体" w:hAnsi="宋体"/>
                <w:sz w:val="28"/>
                <w:szCs w:val="28"/>
              </w:rPr>
            </w:pPr>
          </w:p>
        </w:tc>
      </w:tr>
      <w:tr w:rsidR="00366D24" w:rsidRPr="00505138" w14:paraId="29C49BAB"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2AFEA139"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057BD2DD"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资产利润率</w:t>
            </w:r>
          </w:p>
        </w:tc>
        <w:tc>
          <w:tcPr>
            <w:tcW w:w="1560" w:type="dxa"/>
            <w:tcBorders>
              <w:top w:val="single" w:sz="4" w:space="0" w:color="auto"/>
              <w:left w:val="single" w:sz="4" w:space="0" w:color="auto"/>
              <w:bottom w:val="single" w:sz="4" w:space="0" w:color="auto"/>
              <w:right w:val="single" w:sz="4" w:space="0" w:color="auto"/>
            </w:tcBorders>
            <w:hideMark/>
          </w:tcPr>
          <w:p w14:paraId="7A5522E0"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7ED3A" w14:textId="77777777" w:rsidR="00366D24" w:rsidRPr="00505138" w:rsidRDefault="00366D24" w:rsidP="00B03F70">
            <w:pPr>
              <w:widowControl/>
              <w:jc w:val="left"/>
              <w:rPr>
                <w:rFonts w:ascii="宋体" w:hAnsi="宋体"/>
                <w:sz w:val="28"/>
                <w:szCs w:val="28"/>
              </w:rPr>
            </w:pPr>
          </w:p>
        </w:tc>
      </w:tr>
      <w:tr w:rsidR="00366D24" w:rsidRPr="00505138" w14:paraId="547A79E5"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7694C18A"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43D1C3D8"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流动性比例</w:t>
            </w:r>
          </w:p>
        </w:tc>
        <w:tc>
          <w:tcPr>
            <w:tcW w:w="1560" w:type="dxa"/>
            <w:tcBorders>
              <w:top w:val="single" w:sz="4" w:space="0" w:color="auto"/>
              <w:left w:val="single" w:sz="4" w:space="0" w:color="auto"/>
              <w:bottom w:val="single" w:sz="4" w:space="0" w:color="auto"/>
              <w:right w:val="single" w:sz="4" w:space="0" w:color="auto"/>
            </w:tcBorders>
            <w:hideMark/>
          </w:tcPr>
          <w:p w14:paraId="615300EB"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73434" w14:textId="77777777" w:rsidR="00366D24" w:rsidRPr="00505138" w:rsidRDefault="00366D24" w:rsidP="00B03F70">
            <w:pPr>
              <w:widowControl/>
              <w:jc w:val="left"/>
              <w:rPr>
                <w:rFonts w:ascii="宋体" w:hAnsi="宋体"/>
                <w:sz w:val="28"/>
                <w:szCs w:val="28"/>
              </w:rPr>
            </w:pPr>
          </w:p>
        </w:tc>
      </w:tr>
      <w:tr w:rsidR="00366D24" w:rsidRPr="00505138" w14:paraId="026D5D0A" w14:textId="77777777" w:rsidTr="00B03F70">
        <w:trPr>
          <w:trHeight w:val="1910"/>
        </w:trPr>
        <w:tc>
          <w:tcPr>
            <w:tcW w:w="1951" w:type="dxa"/>
            <w:tcBorders>
              <w:top w:val="single" w:sz="4" w:space="0" w:color="auto"/>
              <w:left w:val="single" w:sz="4" w:space="0" w:color="auto"/>
              <w:bottom w:val="single" w:sz="4" w:space="0" w:color="auto"/>
              <w:right w:val="single" w:sz="4" w:space="0" w:color="auto"/>
            </w:tcBorders>
          </w:tcPr>
          <w:p w14:paraId="79A31935" w14:textId="77777777" w:rsidR="00366D24" w:rsidRPr="00505138" w:rsidRDefault="00366D24" w:rsidP="00B03F70">
            <w:pPr>
              <w:rPr>
                <w:rFonts w:ascii="宋体" w:hAnsi="宋体"/>
                <w:sz w:val="28"/>
                <w:szCs w:val="28"/>
              </w:rPr>
            </w:pPr>
          </w:p>
          <w:p w14:paraId="010B105A"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服务水平</w:t>
            </w:r>
          </w:p>
        </w:tc>
        <w:tc>
          <w:tcPr>
            <w:tcW w:w="3260" w:type="dxa"/>
            <w:tcBorders>
              <w:top w:val="single" w:sz="4" w:space="0" w:color="auto"/>
              <w:left w:val="single" w:sz="4" w:space="0" w:color="auto"/>
              <w:bottom w:val="single" w:sz="4" w:space="0" w:color="auto"/>
              <w:right w:val="single" w:sz="4" w:space="0" w:color="auto"/>
            </w:tcBorders>
            <w:hideMark/>
          </w:tcPr>
          <w:p w14:paraId="207EF72F" w14:textId="77777777" w:rsidR="00366D24" w:rsidRPr="00505138" w:rsidRDefault="00366D24" w:rsidP="00B03F70">
            <w:pPr>
              <w:jc w:val="left"/>
              <w:rPr>
                <w:rFonts w:ascii="宋体" w:hAnsi="宋体"/>
                <w:sz w:val="28"/>
                <w:szCs w:val="28"/>
              </w:rPr>
            </w:pPr>
            <w:r w:rsidRPr="00505138">
              <w:rPr>
                <w:rFonts w:ascii="宋体" w:hAnsi="宋体" w:hint="eastAsia"/>
                <w:sz w:val="28"/>
                <w:szCs w:val="28"/>
              </w:rPr>
              <w:t>由中央预算单位根据实际情况和管理要求设置分项指标和权重</w:t>
            </w:r>
          </w:p>
        </w:tc>
        <w:tc>
          <w:tcPr>
            <w:tcW w:w="1560" w:type="dxa"/>
            <w:tcBorders>
              <w:top w:val="single" w:sz="4" w:space="0" w:color="auto"/>
              <w:left w:val="single" w:sz="4" w:space="0" w:color="auto"/>
              <w:bottom w:val="single" w:sz="4" w:space="0" w:color="auto"/>
              <w:right w:val="single" w:sz="4" w:space="0" w:color="auto"/>
            </w:tcBorders>
          </w:tcPr>
          <w:p w14:paraId="41DD792D" w14:textId="77777777" w:rsidR="00366D24" w:rsidRPr="00505138" w:rsidRDefault="00366D24" w:rsidP="00B03F70">
            <w:pPr>
              <w:jc w:val="center"/>
              <w:rPr>
                <w:rFonts w:ascii="宋体" w:hAnsi="宋体"/>
                <w:sz w:val="28"/>
                <w:szCs w:val="28"/>
              </w:rPr>
            </w:pPr>
          </w:p>
          <w:p w14:paraId="687E940A"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50%</w:t>
            </w:r>
          </w:p>
        </w:tc>
        <w:tc>
          <w:tcPr>
            <w:tcW w:w="1751" w:type="dxa"/>
            <w:tcBorders>
              <w:top w:val="single" w:sz="4" w:space="0" w:color="auto"/>
              <w:left w:val="single" w:sz="4" w:space="0" w:color="auto"/>
              <w:bottom w:val="single" w:sz="4" w:space="0" w:color="auto"/>
              <w:right w:val="single" w:sz="4" w:space="0" w:color="auto"/>
            </w:tcBorders>
          </w:tcPr>
          <w:p w14:paraId="5B024050" w14:textId="77777777" w:rsidR="00366D24" w:rsidRPr="00505138" w:rsidRDefault="00366D24" w:rsidP="00B03F70">
            <w:pPr>
              <w:jc w:val="center"/>
              <w:rPr>
                <w:rFonts w:ascii="宋体" w:hAnsi="宋体"/>
                <w:sz w:val="28"/>
                <w:szCs w:val="28"/>
              </w:rPr>
            </w:pPr>
          </w:p>
          <w:p w14:paraId="006A207F"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50%</w:t>
            </w:r>
          </w:p>
        </w:tc>
      </w:tr>
      <w:tr w:rsidR="00366D24" w:rsidRPr="00505138" w14:paraId="2022584A" w14:textId="77777777" w:rsidTr="00B03F70">
        <w:tc>
          <w:tcPr>
            <w:tcW w:w="1951" w:type="dxa"/>
            <w:tcBorders>
              <w:top w:val="single" w:sz="4" w:space="0" w:color="auto"/>
              <w:left w:val="single" w:sz="4" w:space="0" w:color="auto"/>
              <w:bottom w:val="single" w:sz="4" w:space="0" w:color="auto"/>
              <w:right w:val="single" w:sz="4" w:space="0" w:color="auto"/>
            </w:tcBorders>
            <w:vAlign w:val="center"/>
            <w:hideMark/>
          </w:tcPr>
          <w:p w14:paraId="38970540"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利率水平*</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B14B91" w14:textId="77777777" w:rsidR="00366D24" w:rsidRPr="00505138" w:rsidRDefault="00366D24" w:rsidP="00B03F70">
            <w:pPr>
              <w:jc w:val="left"/>
              <w:rPr>
                <w:rFonts w:ascii="宋体" w:hAnsi="宋体"/>
                <w:sz w:val="28"/>
                <w:szCs w:val="28"/>
              </w:rPr>
            </w:pPr>
            <w:r w:rsidRPr="00505138">
              <w:rPr>
                <w:rFonts w:ascii="宋体" w:hAnsi="宋体" w:hint="eastAsia"/>
                <w:sz w:val="28"/>
                <w:szCs w:val="28"/>
              </w:rPr>
              <w:t>承诺活期存款利率、在开户银行定期存款利率等</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ACC6B3"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15%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F4FB6BE"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15%</w:t>
            </w:r>
          </w:p>
        </w:tc>
      </w:tr>
    </w:tbl>
    <w:p w14:paraId="60A1CA60" w14:textId="77777777" w:rsidR="00366D24" w:rsidRPr="00505138" w:rsidRDefault="00366D24" w:rsidP="00366D24">
      <w:pPr>
        <w:ind w:firstLineChars="150" w:firstLine="420"/>
        <w:rPr>
          <w:rFonts w:ascii="宋体" w:hAnsi="宋体"/>
          <w:sz w:val="28"/>
          <w:szCs w:val="28"/>
        </w:rPr>
      </w:pPr>
      <w:r w:rsidRPr="00505138">
        <w:rPr>
          <w:rFonts w:ascii="宋体" w:hAnsi="宋体" w:hint="eastAsia"/>
          <w:sz w:val="28"/>
          <w:szCs w:val="28"/>
        </w:rPr>
        <w:t>*利率水平指标可以不设置，相应将经营状况权重增加到40%（各分项指标权重增加到8%），服务水平权重增加到60%。</w:t>
      </w:r>
    </w:p>
    <w:p w14:paraId="39DDA742" w14:textId="77777777" w:rsidR="00366D24" w:rsidRPr="00505138" w:rsidRDefault="00366D24" w:rsidP="00366D24">
      <w:pPr>
        <w:ind w:firstLineChars="150" w:firstLine="422"/>
        <w:rPr>
          <w:rFonts w:ascii="宋体" w:hAnsi="宋体"/>
          <w:sz w:val="28"/>
          <w:szCs w:val="28"/>
        </w:rPr>
      </w:pPr>
      <w:r w:rsidRPr="00505138">
        <w:rPr>
          <w:rFonts w:ascii="宋体" w:hAnsi="宋体" w:hint="eastAsia"/>
          <w:b/>
          <w:bCs/>
          <w:sz w:val="28"/>
          <w:szCs w:val="28"/>
        </w:rPr>
        <w:t>（二）评选定期存款银行</w:t>
      </w:r>
      <w:r w:rsidRPr="00505138">
        <w:rPr>
          <w:rFonts w:ascii="宋体" w:hAnsi="宋体" w:hint="eastAsia"/>
          <w:sz w:val="28"/>
          <w:szCs w:val="28"/>
        </w:rPr>
        <w:t>。评分指标包括3个方面：经营状况、</w:t>
      </w:r>
      <w:r w:rsidRPr="00505138">
        <w:rPr>
          <w:rFonts w:ascii="宋体" w:hAnsi="宋体" w:hint="eastAsia"/>
          <w:sz w:val="28"/>
          <w:szCs w:val="28"/>
        </w:rPr>
        <w:lastRenderedPageBreak/>
        <w:t>服务水平、利率水平，权重分别为45%、20%、35%（详见表2）。</w:t>
      </w:r>
    </w:p>
    <w:p w14:paraId="0766556A" w14:textId="77777777" w:rsidR="00366D24" w:rsidRPr="00505138" w:rsidRDefault="00366D24" w:rsidP="00366D24">
      <w:pPr>
        <w:jc w:val="center"/>
        <w:rPr>
          <w:rFonts w:ascii="宋体" w:hAnsi="宋体"/>
          <w:b/>
          <w:bCs/>
          <w:sz w:val="28"/>
          <w:szCs w:val="28"/>
        </w:rPr>
      </w:pPr>
      <w:r w:rsidRPr="00505138">
        <w:rPr>
          <w:rFonts w:ascii="宋体" w:hAnsi="宋体" w:hint="eastAsia"/>
          <w:b/>
          <w:bCs/>
          <w:sz w:val="28"/>
          <w:szCs w:val="28"/>
        </w:rPr>
        <w:t>表2 定期存款银行评分指标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3160"/>
        <w:gridCol w:w="1527"/>
        <w:gridCol w:w="1711"/>
      </w:tblGrid>
      <w:tr w:rsidR="00366D24" w:rsidRPr="00505138" w14:paraId="584C7D60" w14:textId="77777777" w:rsidTr="00B03F70">
        <w:tc>
          <w:tcPr>
            <w:tcW w:w="1951" w:type="dxa"/>
            <w:tcBorders>
              <w:top w:val="single" w:sz="4" w:space="0" w:color="auto"/>
              <w:left w:val="single" w:sz="4" w:space="0" w:color="auto"/>
              <w:bottom w:val="single" w:sz="4" w:space="0" w:color="auto"/>
              <w:right w:val="single" w:sz="4" w:space="0" w:color="auto"/>
            </w:tcBorders>
            <w:hideMark/>
          </w:tcPr>
          <w:p w14:paraId="7BE76D17"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类别</w:t>
            </w:r>
          </w:p>
        </w:tc>
        <w:tc>
          <w:tcPr>
            <w:tcW w:w="3260" w:type="dxa"/>
            <w:tcBorders>
              <w:top w:val="single" w:sz="4" w:space="0" w:color="auto"/>
              <w:left w:val="single" w:sz="4" w:space="0" w:color="auto"/>
              <w:bottom w:val="single" w:sz="4" w:space="0" w:color="auto"/>
              <w:right w:val="single" w:sz="4" w:space="0" w:color="auto"/>
            </w:tcBorders>
            <w:hideMark/>
          </w:tcPr>
          <w:p w14:paraId="78510449"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分项指标</w:t>
            </w:r>
          </w:p>
        </w:tc>
        <w:tc>
          <w:tcPr>
            <w:tcW w:w="1560" w:type="dxa"/>
            <w:tcBorders>
              <w:top w:val="single" w:sz="4" w:space="0" w:color="auto"/>
              <w:left w:val="single" w:sz="4" w:space="0" w:color="auto"/>
              <w:bottom w:val="single" w:sz="4" w:space="0" w:color="auto"/>
              <w:right w:val="single" w:sz="4" w:space="0" w:color="auto"/>
            </w:tcBorders>
            <w:hideMark/>
          </w:tcPr>
          <w:p w14:paraId="571E6B50"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权重</w:t>
            </w:r>
          </w:p>
        </w:tc>
        <w:tc>
          <w:tcPr>
            <w:tcW w:w="1751" w:type="dxa"/>
            <w:tcBorders>
              <w:top w:val="single" w:sz="4" w:space="0" w:color="auto"/>
              <w:left w:val="single" w:sz="4" w:space="0" w:color="auto"/>
              <w:bottom w:val="single" w:sz="4" w:space="0" w:color="auto"/>
              <w:right w:val="single" w:sz="4" w:space="0" w:color="auto"/>
            </w:tcBorders>
            <w:hideMark/>
          </w:tcPr>
          <w:p w14:paraId="4507D393" w14:textId="77777777" w:rsidR="00366D24" w:rsidRPr="00505138" w:rsidRDefault="00366D24" w:rsidP="00B03F70">
            <w:pPr>
              <w:jc w:val="center"/>
              <w:rPr>
                <w:rFonts w:ascii="宋体" w:hAnsi="宋体"/>
                <w:b/>
                <w:bCs/>
                <w:sz w:val="28"/>
                <w:szCs w:val="28"/>
              </w:rPr>
            </w:pPr>
            <w:r w:rsidRPr="00505138">
              <w:rPr>
                <w:rFonts w:ascii="宋体" w:hAnsi="宋体" w:hint="eastAsia"/>
                <w:b/>
                <w:bCs/>
                <w:sz w:val="28"/>
                <w:szCs w:val="28"/>
              </w:rPr>
              <w:t>权重合计</w:t>
            </w:r>
          </w:p>
        </w:tc>
      </w:tr>
      <w:tr w:rsidR="00366D24" w:rsidRPr="00505138" w14:paraId="440FB9E3" w14:textId="77777777" w:rsidTr="00B03F70">
        <w:tc>
          <w:tcPr>
            <w:tcW w:w="1951" w:type="dxa"/>
            <w:vMerge w:val="restart"/>
            <w:tcBorders>
              <w:top w:val="single" w:sz="4" w:space="0" w:color="auto"/>
              <w:left w:val="single" w:sz="4" w:space="0" w:color="auto"/>
              <w:bottom w:val="single" w:sz="4" w:space="0" w:color="auto"/>
              <w:right w:val="single" w:sz="4" w:space="0" w:color="auto"/>
            </w:tcBorders>
          </w:tcPr>
          <w:p w14:paraId="0972B6F4" w14:textId="77777777" w:rsidR="00366D24" w:rsidRPr="00505138" w:rsidRDefault="00366D24" w:rsidP="00B03F70">
            <w:pPr>
              <w:jc w:val="center"/>
              <w:rPr>
                <w:rFonts w:ascii="宋体" w:hAnsi="宋体"/>
                <w:sz w:val="28"/>
                <w:szCs w:val="28"/>
              </w:rPr>
            </w:pPr>
          </w:p>
          <w:p w14:paraId="10E15169" w14:textId="77777777" w:rsidR="00366D24" w:rsidRPr="00505138" w:rsidRDefault="00366D24" w:rsidP="00B03F70">
            <w:pPr>
              <w:jc w:val="center"/>
              <w:rPr>
                <w:rFonts w:ascii="宋体" w:hAnsi="宋体"/>
                <w:sz w:val="28"/>
                <w:szCs w:val="28"/>
              </w:rPr>
            </w:pPr>
          </w:p>
          <w:p w14:paraId="2EFCE769"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经营状况</w:t>
            </w:r>
          </w:p>
        </w:tc>
        <w:tc>
          <w:tcPr>
            <w:tcW w:w="3260" w:type="dxa"/>
            <w:tcBorders>
              <w:top w:val="single" w:sz="4" w:space="0" w:color="auto"/>
              <w:left w:val="single" w:sz="4" w:space="0" w:color="auto"/>
              <w:bottom w:val="single" w:sz="4" w:space="0" w:color="auto"/>
              <w:right w:val="single" w:sz="4" w:space="0" w:color="auto"/>
            </w:tcBorders>
            <w:hideMark/>
          </w:tcPr>
          <w:p w14:paraId="37467ED0"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净资产总额</w:t>
            </w:r>
          </w:p>
        </w:tc>
        <w:tc>
          <w:tcPr>
            <w:tcW w:w="1560" w:type="dxa"/>
            <w:tcBorders>
              <w:top w:val="single" w:sz="4" w:space="0" w:color="auto"/>
              <w:left w:val="single" w:sz="4" w:space="0" w:color="auto"/>
              <w:bottom w:val="single" w:sz="4" w:space="0" w:color="auto"/>
              <w:right w:val="single" w:sz="4" w:space="0" w:color="auto"/>
            </w:tcBorders>
            <w:hideMark/>
          </w:tcPr>
          <w:p w14:paraId="267BB8F9"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9%</w:t>
            </w:r>
          </w:p>
        </w:tc>
        <w:tc>
          <w:tcPr>
            <w:tcW w:w="1751" w:type="dxa"/>
            <w:vMerge w:val="restart"/>
            <w:tcBorders>
              <w:top w:val="single" w:sz="4" w:space="0" w:color="auto"/>
              <w:left w:val="single" w:sz="4" w:space="0" w:color="auto"/>
              <w:bottom w:val="single" w:sz="4" w:space="0" w:color="auto"/>
              <w:right w:val="single" w:sz="4" w:space="0" w:color="auto"/>
            </w:tcBorders>
          </w:tcPr>
          <w:p w14:paraId="7373DFE7" w14:textId="77777777" w:rsidR="00366D24" w:rsidRPr="00505138" w:rsidRDefault="00366D24" w:rsidP="00B03F70">
            <w:pPr>
              <w:jc w:val="center"/>
              <w:rPr>
                <w:rFonts w:ascii="宋体" w:hAnsi="宋体"/>
                <w:sz w:val="28"/>
                <w:szCs w:val="28"/>
              </w:rPr>
            </w:pPr>
          </w:p>
          <w:p w14:paraId="3F618AA4" w14:textId="77777777" w:rsidR="00366D24" w:rsidRPr="00505138" w:rsidRDefault="00366D24" w:rsidP="00B03F70">
            <w:pPr>
              <w:jc w:val="center"/>
              <w:rPr>
                <w:rFonts w:ascii="宋体" w:hAnsi="宋体"/>
                <w:sz w:val="28"/>
                <w:szCs w:val="28"/>
              </w:rPr>
            </w:pPr>
          </w:p>
          <w:p w14:paraId="1C109ACF"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45%</w:t>
            </w:r>
          </w:p>
        </w:tc>
      </w:tr>
      <w:tr w:rsidR="00366D24" w:rsidRPr="00505138" w14:paraId="38E11CA3"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2A5B0645"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010C3F84"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资本充足率</w:t>
            </w:r>
          </w:p>
        </w:tc>
        <w:tc>
          <w:tcPr>
            <w:tcW w:w="1560" w:type="dxa"/>
            <w:tcBorders>
              <w:top w:val="single" w:sz="4" w:space="0" w:color="auto"/>
              <w:left w:val="single" w:sz="4" w:space="0" w:color="auto"/>
              <w:bottom w:val="single" w:sz="4" w:space="0" w:color="auto"/>
              <w:right w:val="single" w:sz="4" w:space="0" w:color="auto"/>
            </w:tcBorders>
            <w:hideMark/>
          </w:tcPr>
          <w:p w14:paraId="4DED5224"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508D8" w14:textId="77777777" w:rsidR="00366D24" w:rsidRPr="00505138" w:rsidRDefault="00366D24" w:rsidP="00B03F70">
            <w:pPr>
              <w:widowControl/>
              <w:jc w:val="left"/>
              <w:rPr>
                <w:rFonts w:ascii="宋体" w:hAnsi="宋体"/>
                <w:sz w:val="28"/>
                <w:szCs w:val="28"/>
              </w:rPr>
            </w:pPr>
          </w:p>
        </w:tc>
      </w:tr>
      <w:tr w:rsidR="00366D24" w:rsidRPr="00505138" w14:paraId="02A013BB"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2F146EB6"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3DE7F942"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不良贷款率</w:t>
            </w:r>
          </w:p>
        </w:tc>
        <w:tc>
          <w:tcPr>
            <w:tcW w:w="1560" w:type="dxa"/>
            <w:tcBorders>
              <w:top w:val="single" w:sz="4" w:space="0" w:color="auto"/>
              <w:left w:val="single" w:sz="4" w:space="0" w:color="auto"/>
              <w:bottom w:val="single" w:sz="4" w:space="0" w:color="auto"/>
              <w:right w:val="single" w:sz="4" w:space="0" w:color="auto"/>
            </w:tcBorders>
            <w:hideMark/>
          </w:tcPr>
          <w:p w14:paraId="07523B36"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63F1C" w14:textId="77777777" w:rsidR="00366D24" w:rsidRPr="00505138" w:rsidRDefault="00366D24" w:rsidP="00B03F70">
            <w:pPr>
              <w:widowControl/>
              <w:jc w:val="left"/>
              <w:rPr>
                <w:rFonts w:ascii="宋体" w:hAnsi="宋体"/>
                <w:sz w:val="28"/>
                <w:szCs w:val="28"/>
              </w:rPr>
            </w:pPr>
          </w:p>
        </w:tc>
      </w:tr>
      <w:tr w:rsidR="00366D24" w:rsidRPr="00505138" w14:paraId="4ED0127B"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52219877"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6DE2FB86"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资产利润率</w:t>
            </w:r>
          </w:p>
        </w:tc>
        <w:tc>
          <w:tcPr>
            <w:tcW w:w="1560" w:type="dxa"/>
            <w:tcBorders>
              <w:top w:val="single" w:sz="4" w:space="0" w:color="auto"/>
              <w:left w:val="single" w:sz="4" w:space="0" w:color="auto"/>
              <w:bottom w:val="single" w:sz="4" w:space="0" w:color="auto"/>
              <w:right w:val="single" w:sz="4" w:space="0" w:color="auto"/>
            </w:tcBorders>
            <w:hideMark/>
          </w:tcPr>
          <w:p w14:paraId="37D842E9"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BA89A" w14:textId="77777777" w:rsidR="00366D24" w:rsidRPr="00505138" w:rsidRDefault="00366D24" w:rsidP="00B03F70">
            <w:pPr>
              <w:widowControl/>
              <w:jc w:val="left"/>
              <w:rPr>
                <w:rFonts w:ascii="宋体" w:hAnsi="宋体"/>
                <w:sz w:val="28"/>
                <w:szCs w:val="28"/>
              </w:rPr>
            </w:pPr>
          </w:p>
        </w:tc>
      </w:tr>
      <w:tr w:rsidR="00366D24" w:rsidRPr="00505138" w14:paraId="023FE3FF" w14:textId="77777777" w:rsidTr="00B03F70">
        <w:tc>
          <w:tcPr>
            <w:tcW w:w="0" w:type="auto"/>
            <w:vMerge/>
            <w:tcBorders>
              <w:top w:val="single" w:sz="4" w:space="0" w:color="auto"/>
              <w:left w:val="single" w:sz="4" w:space="0" w:color="auto"/>
              <w:bottom w:val="single" w:sz="4" w:space="0" w:color="auto"/>
              <w:right w:val="single" w:sz="4" w:space="0" w:color="auto"/>
            </w:tcBorders>
            <w:vAlign w:val="center"/>
            <w:hideMark/>
          </w:tcPr>
          <w:p w14:paraId="1F61E050" w14:textId="77777777" w:rsidR="00366D24" w:rsidRPr="00505138" w:rsidRDefault="00366D24" w:rsidP="00B03F70">
            <w:pPr>
              <w:widowControl/>
              <w:jc w:val="left"/>
              <w:rPr>
                <w:rFonts w:ascii="宋体" w:hAnsi="宋体"/>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08E7188F"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流动性比例</w:t>
            </w:r>
          </w:p>
        </w:tc>
        <w:tc>
          <w:tcPr>
            <w:tcW w:w="1560" w:type="dxa"/>
            <w:tcBorders>
              <w:top w:val="single" w:sz="4" w:space="0" w:color="auto"/>
              <w:left w:val="single" w:sz="4" w:space="0" w:color="auto"/>
              <w:bottom w:val="single" w:sz="4" w:space="0" w:color="auto"/>
              <w:right w:val="single" w:sz="4" w:space="0" w:color="auto"/>
            </w:tcBorders>
            <w:hideMark/>
          </w:tcPr>
          <w:p w14:paraId="24A5E1F8"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AAD88" w14:textId="77777777" w:rsidR="00366D24" w:rsidRPr="00505138" w:rsidRDefault="00366D24" w:rsidP="00B03F70">
            <w:pPr>
              <w:widowControl/>
              <w:jc w:val="left"/>
              <w:rPr>
                <w:rFonts w:ascii="宋体" w:hAnsi="宋体"/>
                <w:sz w:val="28"/>
                <w:szCs w:val="28"/>
              </w:rPr>
            </w:pPr>
          </w:p>
        </w:tc>
      </w:tr>
      <w:tr w:rsidR="00366D24" w:rsidRPr="00505138" w14:paraId="25648B61" w14:textId="77777777" w:rsidTr="00B03F70">
        <w:tc>
          <w:tcPr>
            <w:tcW w:w="1951" w:type="dxa"/>
            <w:tcBorders>
              <w:top w:val="single" w:sz="4" w:space="0" w:color="auto"/>
              <w:left w:val="single" w:sz="4" w:space="0" w:color="auto"/>
              <w:bottom w:val="single" w:sz="4" w:space="0" w:color="auto"/>
              <w:right w:val="single" w:sz="4" w:space="0" w:color="auto"/>
            </w:tcBorders>
            <w:vAlign w:val="center"/>
            <w:hideMark/>
          </w:tcPr>
          <w:p w14:paraId="681A59D8"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服务水平</w:t>
            </w:r>
          </w:p>
        </w:tc>
        <w:tc>
          <w:tcPr>
            <w:tcW w:w="3260" w:type="dxa"/>
            <w:tcBorders>
              <w:top w:val="single" w:sz="4" w:space="0" w:color="auto"/>
              <w:left w:val="single" w:sz="4" w:space="0" w:color="auto"/>
              <w:bottom w:val="single" w:sz="4" w:space="0" w:color="auto"/>
              <w:right w:val="single" w:sz="4" w:space="0" w:color="auto"/>
            </w:tcBorders>
            <w:hideMark/>
          </w:tcPr>
          <w:p w14:paraId="55F593C1"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由中央预算单位根据实际情况和管理要求设置分项指标和权重</w:t>
            </w:r>
          </w:p>
        </w:tc>
        <w:tc>
          <w:tcPr>
            <w:tcW w:w="1560" w:type="dxa"/>
            <w:tcBorders>
              <w:top w:val="single" w:sz="4" w:space="0" w:color="auto"/>
              <w:left w:val="single" w:sz="4" w:space="0" w:color="auto"/>
              <w:bottom w:val="single" w:sz="4" w:space="0" w:color="auto"/>
              <w:right w:val="single" w:sz="4" w:space="0" w:color="auto"/>
            </w:tcBorders>
          </w:tcPr>
          <w:p w14:paraId="49322D40" w14:textId="77777777" w:rsidR="00366D24" w:rsidRPr="00505138" w:rsidRDefault="00366D24" w:rsidP="00B03F70">
            <w:pPr>
              <w:jc w:val="center"/>
              <w:rPr>
                <w:rFonts w:ascii="宋体" w:hAnsi="宋体"/>
                <w:sz w:val="28"/>
                <w:szCs w:val="28"/>
              </w:rPr>
            </w:pPr>
          </w:p>
          <w:p w14:paraId="24FEDDCC"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20%</w:t>
            </w:r>
          </w:p>
        </w:tc>
        <w:tc>
          <w:tcPr>
            <w:tcW w:w="1751" w:type="dxa"/>
            <w:tcBorders>
              <w:top w:val="single" w:sz="4" w:space="0" w:color="auto"/>
              <w:left w:val="single" w:sz="4" w:space="0" w:color="auto"/>
              <w:bottom w:val="single" w:sz="4" w:space="0" w:color="auto"/>
              <w:right w:val="single" w:sz="4" w:space="0" w:color="auto"/>
            </w:tcBorders>
          </w:tcPr>
          <w:p w14:paraId="608FA403" w14:textId="77777777" w:rsidR="00366D24" w:rsidRPr="00505138" w:rsidRDefault="00366D24" w:rsidP="00B03F70">
            <w:pPr>
              <w:jc w:val="center"/>
              <w:rPr>
                <w:rFonts w:ascii="宋体" w:hAnsi="宋体"/>
                <w:sz w:val="28"/>
                <w:szCs w:val="28"/>
              </w:rPr>
            </w:pPr>
          </w:p>
          <w:p w14:paraId="0193FD2E"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20%</w:t>
            </w:r>
          </w:p>
        </w:tc>
      </w:tr>
      <w:tr w:rsidR="00366D24" w:rsidRPr="00505138" w14:paraId="797B00E7" w14:textId="77777777" w:rsidTr="00B03F70">
        <w:tc>
          <w:tcPr>
            <w:tcW w:w="1951" w:type="dxa"/>
            <w:tcBorders>
              <w:top w:val="single" w:sz="4" w:space="0" w:color="auto"/>
              <w:left w:val="single" w:sz="4" w:space="0" w:color="auto"/>
              <w:bottom w:val="single" w:sz="4" w:space="0" w:color="auto"/>
              <w:right w:val="single" w:sz="4" w:space="0" w:color="auto"/>
            </w:tcBorders>
            <w:hideMark/>
          </w:tcPr>
          <w:p w14:paraId="1D43CE86"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利率水平</w:t>
            </w:r>
          </w:p>
        </w:tc>
        <w:tc>
          <w:tcPr>
            <w:tcW w:w="3260" w:type="dxa"/>
            <w:tcBorders>
              <w:top w:val="single" w:sz="4" w:space="0" w:color="auto"/>
              <w:left w:val="single" w:sz="4" w:space="0" w:color="auto"/>
              <w:bottom w:val="single" w:sz="4" w:space="0" w:color="auto"/>
              <w:right w:val="single" w:sz="4" w:space="0" w:color="auto"/>
            </w:tcBorders>
            <w:hideMark/>
          </w:tcPr>
          <w:p w14:paraId="4D56B831"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承诺定期存款利率</w:t>
            </w:r>
          </w:p>
        </w:tc>
        <w:tc>
          <w:tcPr>
            <w:tcW w:w="1560" w:type="dxa"/>
            <w:tcBorders>
              <w:top w:val="single" w:sz="4" w:space="0" w:color="auto"/>
              <w:left w:val="single" w:sz="4" w:space="0" w:color="auto"/>
              <w:bottom w:val="single" w:sz="4" w:space="0" w:color="auto"/>
              <w:right w:val="single" w:sz="4" w:space="0" w:color="auto"/>
            </w:tcBorders>
            <w:hideMark/>
          </w:tcPr>
          <w:p w14:paraId="12E51944"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35%</w:t>
            </w:r>
          </w:p>
        </w:tc>
        <w:tc>
          <w:tcPr>
            <w:tcW w:w="1751" w:type="dxa"/>
            <w:tcBorders>
              <w:top w:val="single" w:sz="4" w:space="0" w:color="auto"/>
              <w:left w:val="single" w:sz="4" w:space="0" w:color="auto"/>
              <w:bottom w:val="single" w:sz="4" w:space="0" w:color="auto"/>
              <w:right w:val="single" w:sz="4" w:space="0" w:color="auto"/>
            </w:tcBorders>
            <w:hideMark/>
          </w:tcPr>
          <w:p w14:paraId="7A06FF3F" w14:textId="77777777" w:rsidR="00366D24" w:rsidRPr="00505138" w:rsidRDefault="00366D24" w:rsidP="00B03F70">
            <w:pPr>
              <w:jc w:val="center"/>
              <w:rPr>
                <w:rFonts w:ascii="宋体" w:hAnsi="宋体"/>
                <w:sz w:val="28"/>
                <w:szCs w:val="28"/>
              </w:rPr>
            </w:pPr>
            <w:r w:rsidRPr="00505138">
              <w:rPr>
                <w:rFonts w:ascii="宋体" w:hAnsi="宋体" w:hint="eastAsia"/>
                <w:sz w:val="28"/>
                <w:szCs w:val="28"/>
              </w:rPr>
              <w:t>35%</w:t>
            </w:r>
          </w:p>
        </w:tc>
      </w:tr>
    </w:tbl>
    <w:p w14:paraId="7EDEA935" w14:textId="77777777" w:rsidR="00366D24" w:rsidRPr="00505138" w:rsidRDefault="00366D24" w:rsidP="00366D24">
      <w:pPr>
        <w:ind w:firstLineChars="150" w:firstLine="422"/>
        <w:rPr>
          <w:rFonts w:ascii="宋体" w:hAnsi="宋体"/>
          <w:b/>
          <w:bCs/>
          <w:sz w:val="28"/>
          <w:szCs w:val="28"/>
        </w:rPr>
      </w:pPr>
      <w:r w:rsidRPr="00505138">
        <w:rPr>
          <w:rFonts w:ascii="宋体" w:hAnsi="宋体" w:hint="eastAsia"/>
          <w:b/>
          <w:bCs/>
          <w:sz w:val="28"/>
          <w:szCs w:val="28"/>
        </w:rPr>
        <w:t>二、评分方法</w:t>
      </w:r>
    </w:p>
    <w:p w14:paraId="3F0E49DE"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（一）经营状况和利率水平指标计分方法。</w:t>
      </w:r>
    </w:p>
    <w:p w14:paraId="2234ADFB"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经营状况</w:t>
      </w:r>
      <w:proofErr w:type="gramStart"/>
      <w:r w:rsidRPr="00505138">
        <w:rPr>
          <w:rFonts w:ascii="宋体" w:hAnsi="宋体" w:hint="eastAsia"/>
          <w:sz w:val="28"/>
          <w:szCs w:val="28"/>
        </w:rPr>
        <w:t>类各项</w:t>
      </w:r>
      <w:proofErr w:type="gramEnd"/>
      <w:r w:rsidRPr="00505138">
        <w:rPr>
          <w:rFonts w:ascii="宋体" w:hAnsi="宋体" w:hint="eastAsia"/>
          <w:sz w:val="28"/>
          <w:szCs w:val="28"/>
        </w:rPr>
        <w:t>指标根据银行全行数据计算得出，银行已上市的，数据一般来源于已披露的最近一年的年度报告；银行未上市的，数据一般来源于最近一年经审计的年度报告。利率水平指标由参与竞争的银行分支机构在总行授权范围内提供。</w:t>
      </w:r>
    </w:p>
    <w:p w14:paraId="5A0331FA"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净资产总额、资本充足率、资产利润率、流动性比例、利率水平得分的计算方法为：</w:t>
      </w:r>
    </w:p>
    <w:p w14:paraId="47A11BB6"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单项指标得分＝</w:t>
      </w:r>
      <w:r w:rsidRPr="00505138">
        <w:rPr>
          <w:rFonts w:ascii="宋体" w:hAnsi="宋体" w:hint="eastAsia"/>
          <w:sz w:val="28"/>
          <w:szCs w:val="28"/>
        </w:rPr>
        <w:object w:dxaOrig="3700" w:dyaOrig="660" w14:anchorId="38B6A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2.25pt" o:ole="">
            <v:imagedata r:id="rId5" o:title=""/>
          </v:shape>
          <o:OLEObject Type="Embed" ProgID="Equation.3" ShapeID="_x0000_i1025" DrawAspect="Content" ObjectID="_1759125777" r:id="rId6"/>
        </w:object>
      </w:r>
      <w:r w:rsidRPr="00505138">
        <w:rPr>
          <w:rFonts w:ascii="宋体" w:hAnsi="宋体" w:hint="eastAsia"/>
          <w:sz w:val="28"/>
          <w:szCs w:val="28"/>
        </w:rPr>
        <w:t>×100</w:t>
      </w:r>
    </w:p>
    <w:p w14:paraId="0AB0F16F"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lastRenderedPageBreak/>
        <w:t>不良贷款率得分计算方法为：</w:t>
      </w:r>
    </w:p>
    <w:p w14:paraId="412ADA69"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不良贷款率得分＝</w:t>
      </w:r>
      <w:r w:rsidRPr="00505138">
        <w:rPr>
          <w:rFonts w:ascii="宋体" w:hAnsi="宋体" w:hint="eastAsia"/>
          <w:sz w:val="28"/>
          <w:szCs w:val="28"/>
        </w:rPr>
        <w:object w:dxaOrig="3700" w:dyaOrig="660" w14:anchorId="531663D5">
          <v:shape id="_x0000_i1026" type="#_x0000_t75" style="width:184.5pt;height:32.25pt" o:ole="">
            <v:imagedata r:id="rId7" o:title=""/>
          </v:shape>
          <o:OLEObject Type="Embed" ProgID="Equation.3" ShapeID="_x0000_i1026" DrawAspect="Content" ObjectID="_1759125778" r:id="rId8"/>
        </w:object>
      </w:r>
      <w:r w:rsidRPr="00505138">
        <w:rPr>
          <w:rFonts w:ascii="宋体" w:hAnsi="宋体" w:hint="eastAsia"/>
          <w:sz w:val="28"/>
          <w:szCs w:val="28"/>
        </w:rPr>
        <w:t>×100</w:t>
      </w:r>
    </w:p>
    <w:p w14:paraId="2409B2A2"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（二）服务水平指标计分方法。</w:t>
      </w:r>
    </w:p>
    <w:p w14:paraId="2316A514"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服务水平的分项指标由中央预算单位根据实际情况和管理要求设置，可以为银行分支机构指标或全行指标，由评选人员根据具体分项指标情况采取计算方法或评审方法，采用百分制打分。</w:t>
      </w:r>
    </w:p>
    <w:p w14:paraId="36C7BAE5" w14:textId="77777777" w:rsidR="00366D24" w:rsidRPr="00505138" w:rsidRDefault="00366D24" w:rsidP="00366D24">
      <w:pPr>
        <w:ind w:firstLine="648"/>
        <w:rPr>
          <w:rFonts w:ascii="宋体" w:hAnsi="宋体"/>
          <w:sz w:val="28"/>
          <w:szCs w:val="28"/>
        </w:rPr>
      </w:pPr>
      <w:r w:rsidRPr="00505138">
        <w:rPr>
          <w:rFonts w:ascii="宋体" w:hAnsi="宋体" w:hint="eastAsia"/>
          <w:sz w:val="28"/>
          <w:szCs w:val="28"/>
        </w:rPr>
        <w:t>（三）总分计算方法。</w:t>
      </w:r>
    </w:p>
    <w:p w14:paraId="2759B9BC" w14:textId="77777777" w:rsidR="00366D24" w:rsidRPr="00505138" w:rsidRDefault="00366D24" w:rsidP="00366D24">
      <w:pPr>
        <w:ind w:firstLine="648"/>
        <w:rPr>
          <w:rFonts w:ascii="宋体" w:hAnsi="宋体"/>
          <w:sz w:val="28"/>
          <w:szCs w:val="28"/>
        </w:rPr>
      </w:pPr>
      <w:proofErr w:type="gramStart"/>
      <w:r w:rsidRPr="00505138">
        <w:rPr>
          <w:rFonts w:ascii="宋体" w:hAnsi="宋体" w:hint="eastAsia"/>
          <w:sz w:val="28"/>
          <w:szCs w:val="28"/>
        </w:rPr>
        <w:t>单个评选</w:t>
      </w:r>
      <w:proofErr w:type="gramEnd"/>
      <w:r w:rsidRPr="00505138">
        <w:rPr>
          <w:rFonts w:ascii="宋体" w:hAnsi="宋体" w:hint="eastAsia"/>
          <w:sz w:val="28"/>
          <w:szCs w:val="28"/>
        </w:rPr>
        <w:t>人员对某个银行评分＝∑经营状况中单项指标得分×分项指标权重+∑服务水平中单项指标得分×分项指标权重+利率水平指标得分×本项指标权重</w:t>
      </w:r>
    </w:p>
    <w:p w14:paraId="38373345" w14:textId="77777777" w:rsidR="00366D24" w:rsidRPr="00366D24" w:rsidRDefault="00366D24" w:rsidP="00366D24">
      <w:pPr>
        <w:ind w:firstLineChars="202" w:firstLine="566"/>
        <w:rPr>
          <w:rFonts w:ascii="宋体" w:hAnsi="宋体"/>
          <w:sz w:val="28"/>
          <w:szCs w:val="28"/>
        </w:rPr>
      </w:pPr>
      <w:r w:rsidRPr="00505138">
        <w:rPr>
          <w:rFonts w:ascii="宋体" w:hAnsi="宋体" w:hint="eastAsia"/>
          <w:sz w:val="28"/>
          <w:szCs w:val="28"/>
        </w:rPr>
        <w:t>参评银行最终得分为评选委员会中全体评选人员评分的算术平均数。</w:t>
      </w:r>
      <w:r w:rsidR="00BA7D69">
        <w:rPr>
          <w:rFonts w:ascii="宋体" w:hAnsi="宋体" w:hint="eastAsia"/>
          <w:sz w:val="28"/>
          <w:szCs w:val="28"/>
        </w:rPr>
        <w:t>如</w:t>
      </w:r>
      <w:r w:rsidRPr="00505138">
        <w:rPr>
          <w:rFonts w:ascii="宋体" w:hAnsi="宋体" w:hint="eastAsia"/>
          <w:sz w:val="28"/>
          <w:szCs w:val="28"/>
        </w:rPr>
        <w:t>评选委员会人数在5人以上的，参评银行最终得分为去掉全体评选人员评分中最高分和最低分后的算术平均数。</w:t>
      </w:r>
      <w:bookmarkEnd w:id="0"/>
    </w:p>
    <w:sectPr w:rsidR="00366D24" w:rsidRPr="00366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EED"/>
    <w:multiLevelType w:val="hybridMultilevel"/>
    <w:tmpl w:val="F00826A6"/>
    <w:lvl w:ilvl="0" w:tplc="04090017">
      <w:start w:val="1"/>
      <w:numFmt w:val="chineseCountingThousand"/>
      <w:lvlText w:val="(%1)"/>
      <w:lvlJc w:val="left"/>
      <w:pPr>
        <w:ind w:left="1020" w:hanging="45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170A14AD"/>
    <w:multiLevelType w:val="hybridMultilevel"/>
    <w:tmpl w:val="9E4A27CA"/>
    <w:lvl w:ilvl="0" w:tplc="04090017">
      <w:start w:val="1"/>
      <w:numFmt w:val="chineseCountingThousand"/>
      <w:lvlText w:val="(%1)"/>
      <w:lvlJc w:val="left"/>
      <w:pPr>
        <w:ind w:left="1020" w:hanging="45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1942266A"/>
    <w:multiLevelType w:val="hybridMultilevel"/>
    <w:tmpl w:val="983E077E"/>
    <w:lvl w:ilvl="0" w:tplc="BC106474">
      <w:start w:val="1"/>
      <w:numFmt w:val="japaneseCounting"/>
      <w:lvlText w:val="%1、"/>
      <w:lvlJc w:val="left"/>
      <w:pPr>
        <w:ind w:left="570" w:hanging="57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1F70FD"/>
    <w:multiLevelType w:val="hybridMultilevel"/>
    <w:tmpl w:val="20DE5024"/>
    <w:lvl w:ilvl="0" w:tplc="04090017">
      <w:start w:val="1"/>
      <w:numFmt w:val="chineseCountingThousand"/>
      <w:lvlText w:val="(%1)"/>
      <w:lvlJc w:val="left"/>
      <w:pPr>
        <w:ind w:left="1020" w:hanging="45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585F6C39"/>
    <w:multiLevelType w:val="hybridMultilevel"/>
    <w:tmpl w:val="DACC42A6"/>
    <w:lvl w:ilvl="0" w:tplc="04090017">
      <w:start w:val="1"/>
      <w:numFmt w:val="chineseCountingThousand"/>
      <w:lvlText w:val="(%1)"/>
      <w:lvlJc w:val="left"/>
      <w:pPr>
        <w:ind w:left="1033" w:hanging="46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5A984A12"/>
    <w:multiLevelType w:val="hybridMultilevel"/>
    <w:tmpl w:val="C3C84634"/>
    <w:lvl w:ilvl="0" w:tplc="04090017">
      <w:start w:val="1"/>
      <w:numFmt w:val="chineseCountingThousand"/>
      <w:lvlText w:val="(%1)"/>
      <w:lvlJc w:val="left"/>
      <w:pPr>
        <w:ind w:left="1020" w:hanging="45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15:restartNumberingAfterBreak="0">
    <w:nsid w:val="69832345"/>
    <w:multiLevelType w:val="hybridMultilevel"/>
    <w:tmpl w:val="4BFC76E8"/>
    <w:lvl w:ilvl="0" w:tplc="04090017">
      <w:start w:val="1"/>
      <w:numFmt w:val="chineseCountingThousand"/>
      <w:lvlText w:val="(%1)"/>
      <w:lvlJc w:val="left"/>
      <w:pPr>
        <w:ind w:left="1005" w:hanging="4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02"/>
    <w:rsid w:val="0005164E"/>
    <w:rsid w:val="00151D00"/>
    <w:rsid w:val="00172E3B"/>
    <w:rsid w:val="002167EE"/>
    <w:rsid w:val="00232B72"/>
    <w:rsid w:val="00242611"/>
    <w:rsid w:val="00280D66"/>
    <w:rsid w:val="003604C7"/>
    <w:rsid w:val="00366D24"/>
    <w:rsid w:val="003C79F1"/>
    <w:rsid w:val="00460E6C"/>
    <w:rsid w:val="00550597"/>
    <w:rsid w:val="00590502"/>
    <w:rsid w:val="00646835"/>
    <w:rsid w:val="00716AAD"/>
    <w:rsid w:val="00BA7D69"/>
    <w:rsid w:val="00C133BD"/>
    <w:rsid w:val="00C56EA8"/>
    <w:rsid w:val="00CE5656"/>
    <w:rsid w:val="00DB5391"/>
    <w:rsid w:val="00E42529"/>
    <w:rsid w:val="00E46601"/>
    <w:rsid w:val="00F6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5587"/>
  <w15:chartTrackingRefBased/>
  <w15:docId w15:val="{D90240AD-F057-48FB-8F9D-FC80FE4B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502"/>
    <w:pPr>
      <w:ind w:firstLineChars="200" w:firstLine="420"/>
    </w:pPr>
  </w:style>
  <w:style w:type="paragraph" w:styleId="a4">
    <w:name w:val="Balloon Text"/>
    <w:basedOn w:val="a"/>
    <w:link w:val="a5"/>
    <w:uiPriority w:val="99"/>
    <w:semiHidden/>
    <w:unhideWhenUsed/>
    <w:rsid w:val="00280D66"/>
    <w:rPr>
      <w:sz w:val="18"/>
      <w:szCs w:val="18"/>
    </w:rPr>
  </w:style>
  <w:style w:type="character" w:customStyle="1" w:styleId="a5">
    <w:name w:val="批注框文本 字符"/>
    <w:basedOn w:val="a0"/>
    <w:link w:val="a4"/>
    <w:uiPriority w:val="99"/>
    <w:semiHidden/>
    <w:rsid w:val="00280D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吕文</dc:creator>
  <cp:keywords/>
  <dc:description/>
  <cp:lastModifiedBy>NTKO</cp:lastModifiedBy>
  <cp:revision>23</cp:revision>
  <dcterms:created xsi:type="dcterms:W3CDTF">2021-01-26T00:26:00Z</dcterms:created>
  <dcterms:modified xsi:type="dcterms:W3CDTF">2023-10-18T01:17:00Z</dcterms:modified>
</cp:coreProperties>
</file>